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1C2A997E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026384">
              <w:rPr>
                <w:b/>
                <w:sz w:val="24"/>
              </w:rPr>
              <w:t>May 23,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5F61BEB8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>Gabriel Chu,</w:t>
            </w:r>
            <w:r w:rsidR="00E7222F">
              <w:t xml:space="preserve">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A350DC">
              <w:t xml:space="preserve">John Mann, </w:t>
            </w:r>
            <w:r w:rsidR="00661C76">
              <w:t xml:space="preserve">Cullen Merritt,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 w:rsidR="00477E24">
              <w:t>I</w:t>
            </w:r>
            <w:r w:rsidR="00475127">
              <w:t>sheka</w:t>
            </w:r>
            <w:r w:rsidR="00477E24">
              <w:t xml:space="preserve"> Orr,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3A5466">
              <w:t xml:space="preserve">Jesse Stewart,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53A744DB" w:rsidR="006936B0" w:rsidRDefault="006936B0" w:rsidP="006936B0">
            <w:pPr>
              <w:pStyle w:val="Standard1"/>
            </w:pP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4F3CAF8B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026384">
              <w:t>April 25, 2023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CE10DEC" w:rsidR="006936B0" w:rsidRPr="00141F0E" w:rsidRDefault="00477E24" w:rsidP="006936B0">
            <w:pPr>
              <w:pStyle w:val="Standard1"/>
              <w:tabs>
                <w:tab w:val="left" w:pos="72"/>
              </w:tabs>
              <w:jc w:val="right"/>
            </w:pPr>
            <w:r>
              <w:t>Orr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BA3356" w14:paraId="29F8A9EC" w14:textId="77777777" w:rsidTr="00711F21">
        <w:tc>
          <w:tcPr>
            <w:tcW w:w="9828" w:type="dxa"/>
            <w:gridSpan w:val="2"/>
          </w:tcPr>
          <w:p w14:paraId="12050900" w14:textId="6AEBA21C" w:rsidR="00BA3356" w:rsidRPr="0095604B" w:rsidRDefault="00BA3356" w:rsidP="00BA3356">
            <w:pPr>
              <w:pStyle w:val="Standard1"/>
            </w:pPr>
            <w:r>
              <w:t xml:space="preserve">2:15-2:30 p.m. Discussion: English Proficiency requirements and EAP Courses – </w:t>
            </w:r>
            <w:r w:rsidRPr="0095604B">
              <w:t>Kelly Sumner</w:t>
            </w:r>
            <w:r w:rsidR="0095604B">
              <w:t>,</w:t>
            </w:r>
            <w:r w:rsidRPr="0095604B">
              <w:t xml:space="preserve"> </w:t>
            </w:r>
            <w:r w:rsidR="0095604B">
              <w:t xml:space="preserve">Office of International Affairs </w:t>
            </w:r>
            <w:r w:rsidR="0095604B" w:rsidRPr="0095604B">
              <w:t xml:space="preserve">&amp; Estela </w:t>
            </w:r>
            <w:proofErr w:type="spellStart"/>
            <w:r w:rsidR="0095604B" w:rsidRPr="0095604B">
              <w:t>Ene</w:t>
            </w:r>
            <w:proofErr w:type="spellEnd"/>
            <w:r w:rsidR="0095604B">
              <w:t>,</w:t>
            </w:r>
            <w:r w:rsidR="0095604B">
              <w:t xml:space="preserve"> Director of the English for Academic Purposes program</w:t>
            </w:r>
          </w:p>
          <w:p w14:paraId="487540CE" w14:textId="426FAA95" w:rsidR="00BA3356" w:rsidRDefault="00BA3356" w:rsidP="00BA3356">
            <w:pPr>
              <w:pStyle w:val="Standard1"/>
            </w:pPr>
            <w:r>
              <w:t xml:space="preserve">2:45-3:00 p.m. Discussion on Academic Integrity in Graduate Studies </w:t>
            </w:r>
            <w:r w:rsidRPr="0095604B">
              <w:t>– Robyn Fuchs</w:t>
            </w:r>
            <w:r w:rsidR="0095604B">
              <w:t>, Academic Policy Committee Chair, Graduate Faculty Counsel</w:t>
            </w:r>
          </w:p>
        </w:tc>
        <w:tc>
          <w:tcPr>
            <w:tcW w:w="1350" w:type="dxa"/>
          </w:tcPr>
          <w:p w14:paraId="5543ED6F" w14:textId="77777777" w:rsidR="00BA3356" w:rsidRDefault="00BA3356" w:rsidP="00BA3356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BA3356" w14:paraId="068D3E75" w14:textId="77777777" w:rsidTr="00711F21">
        <w:tc>
          <w:tcPr>
            <w:tcW w:w="9828" w:type="dxa"/>
            <w:gridSpan w:val="2"/>
          </w:tcPr>
          <w:p w14:paraId="6C072D07" w14:textId="087298DE" w:rsidR="00BA3356" w:rsidRDefault="00BA3356" w:rsidP="00BA3356">
            <w:pPr>
              <w:pStyle w:val="Standard1"/>
            </w:pPr>
            <w:r>
              <w:t>Program Review</w:t>
            </w:r>
          </w:p>
          <w:p w14:paraId="111E7E38" w14:textId="354E85F3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New IU Online collaborative graduate certificate in Computer Science from the Luddy School of Informatics, Computer &amp; Engineering</w:t>
            </w:r>
          </w:p>
          <w:p w14:paraId="1A1B0407" w14:textId="4E96367F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New IU Online collaborative MAT in Computer Science from the Luddy School of Informatics, Computer &amp; Engineering</w:t>
            </w:r>
          </w:p>
          <w:p w14:paraId="453F6297" w14:textId="6529F08D" w:rsidR="00BA3356" w:rsidRDefault="00BA3356" w:rsidP="00C62078">
            <w:pPr>
              <w:pStyle w:val="Standard1"/>
              <w:numPr>
                <w:ilvl w:val="0"/>
                <w:numId w:val="5"/>
              </w:numPr>
            </w:pPr>
            <w:r>
              <w:t>New IU Online collaborative MS degree in Actuarial Science from the School of Science</w:t>
            </w:r>
          </w:p>
          <w:p w14:paraId="11A42018" w14:textId="6386CBA5" w:rsidR="00BA3356" w:rsidRDefault="00BA3356" w:rsidP="00BA3356">
            <w:pPr>
              <w:pStyle w:val="Standard1"/>
            </w:pPr>
            <w:r>
              <w:t>Consent Agenda</w:t>
            </w:r>
          </w:p>
          <w:p w14:paraId="3B275F3A" w14:textId="77777777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Changes to the MS in Economics in the School of Liberal Arts</w:t>
            </w:r>
          </w:p>
          <w:p w14:paraId="707CF4BB" w14:textId="77777777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Changes to the PhD minor in Global Health in the Fairbanks School of Public Health</w:t>
            </w:r>
          </w:p>
          <w:p w14:paraId="04C5A0C6" w14:textId="77777777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New BSPH MPH in Interdisciplinary Public Health Studies in the Fairbanks School of Public Health</w:t>
            </w:r>
          </w:p>
          <w:p w14:paraId="2CB582B4" w14:textId="77777777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Changes to the BSPH/MPH in Epidemiology in the Fairbanks School of Public Health</w:t>
            </w:r>
          </w:p>
          <w:p w14:paraId="4A6404C3" w14:textId="77777777" w:rsidR="00BA3356" w:rsidRDefault="00BA3356" w:rsidP="00BA3356">
            <w:pPr>
              <w:pStyle w:val="Standard1"/>
              <w:numPr>
                <w:ilvl w:val="0"/>
                <w:numId w:val="5"/>
              </w:numPr>
            </w:pPr>
            <w:r>
              <w:t>Changes to the BSPH/MPH in Social and Behavioral Sciences in the Fairbanks School of Public Health</w:t>
            </w:r>
          </w:p>
          <w:p w14:paraId="3679BB9D" w14:textId="14FE45BD" w:rsidR="00BA3356" w:rsidRPr="00520B88" w:rsidRDefault="00BA3356" w:rsidP="00684DAE">
            <w:pPr>
              <w:pStyle w:val="Standard1"/>
              <w:numPr>
                <w:ilvl w:val="0"/>
                <w:numId w:val="5"/>
              </w:numPr>
            </w:pPr>
            <w:r>
              <w:t>Changes to the graduate certificate in E-Social Work in the School of Social Work</w:t>
            </w:r>
          </w:p>
        </w:tc>
        <w:tc>
          <w:tcPr>
            <w:tcW w:w="1350" w:type="dxa"/>
          </w:tcPr>
          <w:p w14:paraId="771F4B00" w14:textId="77777777" w:rsidR="00BA3356" w:rsidRDefault="00BA3356" w:rsidP="00BA3356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BA3356" w14:paraId="0483E274" w14:textId="77777777" w:rsidTr="00711F21">
        <w:tc>
          <w:tcPr>
            <w:tcW w:w="9828" w:type="dxa"/>
            <w:gridSpan w:val="2"/>
          </w:tcPr>
          <w:p w14:paraId="25775F7B" w14:textId="4EE8DA5C" w:rsidR="00BA3356" w:rsidRDefault="00BA3356" w:rsidP="00BA3356">
            <w:pPr>
              <w:pStyle w:val="Standard1"/>
            </w:pPr>
            <w:r>
              <w:lastRenderedPageBreak/>
              <w:t>Next Meeting and Adjournment (</w:t>
            </w:r>
            <w:r>
              <w:rPr>
                <w:b/>
              </w:rPr>
              <w:t>August 22, 2023, 1:30 pm, 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BA3356" w:rsidRDefault="00BA3356" w:rsidP="00BA3356">
            <w:pPr>
              <w:pStyle w:val="Standard1"/>
              <w:jc w:val="right"/>
            </w:pPr>
          </w:p>
        </w:tc>
      </w:tr>
    </w:tbl>
    <w:p w14:paraId="74824776" w14:textId="77777777" w:rsidR="00A43AD7" w:rsidRDefault="00A43AD7">
      <w:bookmarkStart w:id="5" w:name="AdditionalInformation"/>
      <w:bookmarkEnd w:id="5"/>
    </w:p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26384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84DAE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D73D2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5604B"/>
    <w:rsid w:val="00967888"/>
    <w:rsid w:val="009C3DBC"/>
    <w:rsid w:val="009C5370"/>
    <w:rsid w:val="009D661D"/>
    <w:rsid w:val="009D7B44"/>
    <w:rsid w:val="009E5D4F"/>
    <w:rsid w:val="009F056F"/>
    <w:rsid w:val="009F4CC1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0618B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3356"/>
    <w:rsid w:val="00BA6A08"/>
    <w:rsid w:val="00BC31DA"/>
    <w:rsid w:val="00BC5EE9"/>
    <w:rsid w:val="00BC7A14"/>
    <w:rsid w:val="00BD605A"/>
    <w:rsid w:val="00BF7BD0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2717B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2023-05-19T11:54:00Z</dcterms:created>
  <dcterms:modified xsi:type="dcterms:W3CDTF">2023-05-19T11:55:00Z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